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2C" w:rsidRDefault="00456A2C" w:rsidP="00456A2C">
      <w:pPr>
        <w:pStyle w:val="a3"/>
        <w:spacing w:before="0" w:beforeAutospacing="0" w:after="195" w:afterAutospacing="0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Министерство экономического развития Российской Федерации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Письмо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от 21 октября 2015 года № ОГ-Д28-13720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  <w:outlineLvl w:val="3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О рассмотрении обращения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18 июля 2011 г. № 223-ФЗ "О закупках товаров, работ, услуг отдельными видами юридических лиц" (далее - Закон № 223-ФЗ) 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и сообщает следующее.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>Часть 1 статьи 31 Закона № 44-ФЗ устанавливает единые требования, предъявляемые заказчиком к участникам закупки. При этом указанные требования не устанавливают ограничений для аффилированных лиц.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 xml:space="preserve">Отмечаем, что согласно части 6 статьи 39 Закона № 44-ФЗ членами комиссии по осуществлению закупок не могут быть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>На основании вышеизложенного требования, установленные Законом № 44-ФЗ, не запрещают аффилированным участникам закупки участвовать в закупке заказчика, учредителя таких участников закупки.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>Вместе с тем необходимо отметить, что согласно пункту 2 части 1 статьи 17 Федерального закона от 26 июля 2006 г. № 135-ФЗ "О защите конкуренции" (далее - Закон № 135-ФЗ)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условии участия в торгах, запросе котировок, запросе предложений, в том числе путем доступа к информации, если иное не установлено федеральным законом.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>Аналогичная образом обстоит ситуация при осуществлении закупки по Закону № 223-ФЗ у аффилированных с заказчиком участников закупки. Закон № 223-ФЗ в силу своих диспозитивных особенностей не запрещает заказчику осуществлять такие закупки.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>При этом злоупотребление закупкой у аффилированных лиц может повлечь нарушение норм Закона № 135-Ф3.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</w:t>
      </w:r>
      <w:r>
        <w:lastRenderedPageBreak/>
        <w:t>Министерстве, утвержденным постановлением Правительства Российской Федерации от 5 июня 2008 г. № 437, не наделен.</w:t>
      </w:r>
    </w:p>
    <w:p w:rsidR="00456A2C" w:rsidRDefault="00456A2C" w:rsidP="00456A2C">
      <w:pPr>
        <w:pStyle w:val="a3"/>
        <w:spacing w:before="0" w:beforeAutospacing="0" w:after="195" w:afterAutospacing="0"/>
        <w:jc w:val="both"/>
      </w:pPr>
      <w:r>
        <w:br/>
        <w:t>Директор Департамента</w:t>
      </w:r>
      <w:r>
        <w:br/>
        <w:t>развития контрактной системы</w:t>
      </w:r>
      <w:r>
        <w:br/>
        <w:t xml:space="preserve">М.В. </w:t>
      </w:r>
      <w:proofErr w:type="spellStart"/>
      <w:r>
        <w:t>Чемерисов</w:t>
      </w:r>
      <w:proofErr w:type="spellEnd"/>
    </w:p>
    <w:p w:rsidR="00296273" w:rsidRDefault="00296273">
      <w:bookmarkStart w:id="0" w:name="_GoBack"/>
      <w:bookmarkEnd w:id="0"/>
    </w:p>
    <w:sectPr w:rsidR="0029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2C"/>
    <w:rsid w:val="00296273"/>
    <w:rsid w:val="004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9DA4-600F-4CC1-993E-823F749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2018-09-19T22:11:00Z</dcterms:created>
  <dcterms:modified xsi:type="dcterms:W3CDTF">2018-09-19T22:12:00Z</dcterms:modified>
</cp:coreProperties>
</file>